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2B9C2" w14:textId="77777777" w:rsidR="00C27799" w:rsidRPr="00C27799" w:rsidRDefault="00C27799" w:rsidP="00C2779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lv-LV"/>
        </w:rPr>
      </w:pPr>
      <w:bookmarkStart w:id="0" w:name="_Hlk148985617"/>
      <w:r w:rsidRPr="00C27799">
        <w:rPr>
          <w:rFonts w:ascii="Times New Roman" w:eastAsia="Calibri" w:hAnsi="Times New Roman" w:cs="Times New Roman"/>
          <w:b/>
          <w:caps/>
          <w:sz w:val="24"/>
          <w:szCs w:val="24"/>
          <w:lang w:eastAsia="lv-LV"/>
        </w:rPr>
        <w:t>Paskaidrojuma raksts</w:t>
      </w:r>
    </w:p>
    <w:p w14:paraId="5AECFE9F" w14:textId="3BDEF711" w:rsidR="00C27799" w:rsidRPr="007D5EFD" w:rsidRDefault="00C27799" w:rsidP="00C277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lv-LV"/>
        </w:rPr>
      </w:pPr>
      <w:r w:rsidRPr="007D5EFD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Madonas novada pašvaldības </w:t>
      </w:r>
      <w:r w:rsidR="00D63A2F" w:rsidRPr="007D5EFD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2025. gada 27. februāra </w:t>
      </w:r>
      <w:r w:rsidRPr="007D5EFD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saistošajiem noteikumiem Nr. 4</w:t>
      </w:r>
    </w:p>
    <w:p w14:paraId="7D08E083" w14:textId="77777777" w:rsidR="00810642" w:rsidRDefault="00704125" w:rsidP="00AB67F4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Cs/>
          <w:sz w:val="24"/>
          <w:szCs w:val="24"/>
          <w:lang w:eastAsia="lv-LV"/>
        </w:rPr>
      </w:pPr>
      <w:r w:rsidRPr="00AB67F4">
        <w:rPr>
          <w:rFonts w:ascii="Times New Roman" w:eastAsia="Franklin Gothic Book" w:hAnsi="Times New Roman" w:cs="Times New Roman"/>
          <w:bCs/>
          <w:sz w:val="24"/>
          <w:szCs w:val="24"/>
          <w:lang w:eastAsia="lv-LV"/>
        </w:rPr>
        <w:t>“</w:t>
      </w:r>
      <w:r w:rsidR="00AB67F4" w:rsidRPr="00AB67F4">
        <w:rPr>
          <w:rFonts w:ascii="Times New Roman" w:hAnsi="Times New Roman"/>
          <w:bCs/>
          <w:sz w:val="24"/>
          <w:szCs w:val="24"/>
          <w:lang w:eastAsia="lv-LV"/>
        </w:rPr>
        <w:t xml:space="preserve">Grozījumi Madonas novada pašvaldības 2021. gada 25. novembra saistošajos noteikumos </w:t>
      </w:r>
    </w:p>
    <w:p w14:paraId="18E9B4EB" w14:textId="53E115A9" w:rsidR="00AB67F4" w:rsidRPr="00AB67F4" w:rsidRDefault="00AB67F4" w:rsidP="00AB67F4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Cs/>
          <w:sz w:val="24"/>
          <w:szCs w:val="24"/>
          <w:lang w:eastAsia="lv-LV"/>
        </w:rPr>
      </w:pPr>
      <w:r w:rsidRPr="00AB67F4">
        <w:rPr>
          <w:rFonts w:ascii="Times New Roman" w:hAnsi="Times New Roman"/>
          <w:bCs/>
          <w:sz w:val="24"/>
          <w:szCs w:val="24"/>
          <w:lang w:eastAsia="lv-LV"/>
        </w:rPr>
        <w:t>Nr. 19 “Par sociālajiem pakalpojumiem Madonas novadā”</w:t>
      </w:r>
    </w:p>
    <w:bookmarkEnd w:id="0"/>
    <w:tbl>
      <w:tblPr>
        <w:tblW w:w="9375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20"/>
      </w:tblGrid>
      <w:tr w:rsidR="00704125" w:rsidRPr="00C87418" w14:paraId="39DA058B" w14:textId="77777777" w:rsidTr="00CD58FE">
        <w:trPr>
          <w:tblCellSpacing w:w="0" w:type="dxa"/>
        </w:trPr>
        <w:tc>
          <w:tcPr>
            <w:tcW w:w="9355" w:type="dxa"/>
            <w:shd w:val="clear" w:color="auto" w:fill="FFFFFF"/>
            <w:hideMark/>
          </w:tcPr>
          <w:p w14:paraId="4BBBF7C0" w14:textId="77777777" w:rsidR="00704125" w:rsidRPr="00C87418" w:rsidRDefault="00704125" w:rsidP="00B9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</w:p>
          <w:tbl>
            <w:tblPr>
              <w:tblW w:w="16009" w:type="dxa"/>
              <w:tblBorders>
                <w:top w:val="outset" w:sz="6" w:space="0" w:color="414142"/>
                <w:left w:val="outset" w:sz="6" w:space="0" w:color="414142"/>
                <w:bottom w:val="outset" w:sz="6" w:space="0" w:color="414142"/>
                <w:right w:val="outset" w:sz="6" w:space="0" w:color="414142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404"/>
              <w:gridCol w:w="6945"/>
              <w:gridCol w:w="6660"/>
            </w:tblGrid>
            <w:tr w:rsidR="00CD58FE" w:rsidRPr="00C87418" w14:paraId="1219260A" w14:textId="120D5E96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051C6F6C" w14:textId="77777777" w:rsidR="00CD58FE" w:rsidRPr="00C87418" w:rsidRDefault="00CD58FE" w:rsidP="00B925F9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  <w:t>Paskaidrojuma raksta sadaļas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2EEB4093" w14:textId="77777777" w:rsidR="00CD58FE" w:rsidRPr="00C87418" w:rsidRDefault="00CD58FE" w:rsidP="00B925F9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  <w:t>Norādāmā informācija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25F25E3C" w14:textId="77777777" w:rsidR="00CD58FE" w:rsidRPr="00C87418" w:rsidRDefault="00CD58FE" w:rsidP="00B925F9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198B10A2" w14:textId="5E15F10C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69D510EB" w14:textId="4AE971BE" w:rsidR="00CD58FE" w:rsidRPr="00C87418" w:rsidRDefault="00CD58FE" w:rsidP="004D03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Saistošo noteikumu mērķis un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grozījumu 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izdošanas nepieciešamības pamatojums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70D24D2B" w14:textId="783FAFB1" w:rsidR="002A331B" w:rsidRDefault="00CD58FE" w:rsidP="00B70786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42C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Saistošie noteikumi </w:t>
                  </w:r>
                  <w:r w:rsidR="00086046" w:rsidRPr="00086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“Grozījumi Madonas novada pašvaldības 2021. gada 25. novembra saistošajos noteikumos Nr. 19 “Par sociālajiem pakalpojumiem Madonas novadā”</w:t>
                  </w:r>
                  <w:r w:rsidR="00086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442C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(turpmāk – Saistošie noteikumi) izstrādāti ar mērķi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="00086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grozīt un precizēt p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ašlaik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spēkā </w:t>
                  </w:r>
                  <w:r w:rsidR="00086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esošos </w:t>
                  </w:r>
                  <w:r w:rsidRPr="00963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novada pašvaldības 2021. gada 25.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 w:rsidRPr="00963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novembra saistoš</w:t>
                  </w:r>
                  <w:r w:rsidR="00086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os </w:t>
                  </w:r>
                  <w:r w:rsidRPr="00963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noteikum</w:t>
                  </w:r>
                  <w:r w:rsidR="00086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us</w:t>
                  </w:r>
                  <w:r w:rsidRPr="00963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Nr. 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</w:t>
                  </w:r>
                  <w:r w:rsidRPr="00963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“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Par sociālajiem pakalpojumiem</w:t>
                  </w:r>
                  <w:r w:rsidRPr="00963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Madonas novadā”</w:t>
                  </w:r>
                  <w:r w:rsidR="00086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(turpmāk – saistošie noteikumi Nr.</w:t>
                  </w:r>
                  <w:r w:rsidR="00CE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="00086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19), kas nosaka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9C4C4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Madonas novada pašvaldības sniegto sociālo pakalpojumu veidus, to pieprasīšanas, saņemšanas un samaksas kārtību. </w:t>
                  </w:r>
                  <w:bookmarkStart w:id="1" w:name="_Hlk187937237"/>
                  <w:r w:rsidR="0008604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Ar Saistošajiem noteikumiem tiek precizēta vairāku punktu redakcija,</w:t>
                  </w:r>
                  <w:r w:rsidR="008106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10642" w:rsidRPr="008106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atbilstoši praksē konstatētajām vajadzībām</w:t>
                  </w:r>
                  <w:r w:rsidR="002A33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CB67059" w14:textId="7D5DB28A" w:rsidR="00D63A2F" w:rsidRDefault="00D63A2F" w:rsidP="00451425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Saistošajos noteikumos paredzēts </w:t>
                  </w:r>
                  <w:r w:rsidR="0045142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izteikt izdošanas tiesisko pamatojumu jaunā redakcijā, no tā izslēdzot </w:t>
                  </w:r>
                  <w:r w:rsidRPr="00D63A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Invaliditātes likuma 12. panta sesto</w:t>
                  </w:r>
                  <w:r w:rsidRPr="00D63A2F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D63A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daļu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  <w:r w:rsidR="002879D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kas zaudējusi spēku, </w:t>
                  </w:r>
                  <w:r w:rsidR="0045142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kā arī paredzēts </w:t>
                  </w:r>
                  <w:r w:rsidR="002879D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svītrot noteikumu 5.1.6. apakšpunktu un 3.1.6.apakšnodaļu, kas bija pamatoti ar spēku zaudējušo tiesisko normu.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4BD9A3F6" w14:textId="77777777" w:rsidR="002879D8" w:rsidRDefault="002A331B" w:rsidP="002879D8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Saistošajos noteikumos precizēta Dienas centra pakalpojuma pilngadīgām personām – saņemšanas kārtība, noteikts, ka tas tiek piešķirts, izvērtējot personas individuālās vajadzības un pakalpojuma nepieciešamību, kā arī, ka Pakalpojuma saņemšanai personai jāiesniedz iesniegums Sociālajā dienestā. </w:t>
                  </w:r>
                </w:p>
                <w:p w14:paraId="0050098D" w14:textId="1B3E2310" w:rsidR="00CD58FE" w:rsidRPr="00887649" w:rsidRDefault="002A331B" w:rsidP="00451425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Saistošajos noteikumos noteikts </w:t>
                  </w:r>
                  <w:r w:rsidR="0008604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jauns </w:t>
                  </w:r>
                  <w:r w:rsidR="008106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sociālais </w:t>
                  </w:r>
                  <w:r w:rsidR="0008604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pakalpojums</w:t>
                  </w:r>
                  <w:r w:rsidR="008106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dzīvesvietā </w:t>
                  </w:r>
                  <w:r w:rsidR="00CE47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–</w:t>
                  </w:r>
                  <w:r w:rsidR="008106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7078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pansijas</w:t>
                  </w:r>
                  <w:r w:rsidR="0008604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pakalpojums</w:t>
                  </w:r>
                  <w:bookmarkEnd w:id="1"/>
                  <w:r w:rsidR="002879D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un noteikta tā piešķiršanas un saņemšanas kārtība</w:t>
                  </w:r>
                  <w:r w:rsidR="0045142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kā arī noteikts tā spēkā spēkā stāšanās laiks, tas ir </w:t>
                  </w:r>
                  <w:r w:rsidR="002879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2025. gada </w:t>
                  </w:r>
                  <w:r w:rsidR="007D5E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1.septembr</w:t>
                  </w:r>
                  <w:r w:rsidR="00451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is</w:t>
                  </w:r>
                  <w:r w:rsidR="007D5E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.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0ACD3D9E" w14:textId="77777777" w:rsidR="00CD58FE" w:rsidRPr="00442CD5" w:rsidRDefault="00CD58FE" w:rsidP="00572594">
                  <w:pPr>
                    <w:spacing w:after="0"/>
                    <w:ind w:left="181" w:right="159" w:firstLine="28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415353BD" w14:textId="7EC18B38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0709E95A" w14:textId="77777777" w:rsidR="00CD58FE" w:rsidRPr="00C87418" w:rsidRDefault="00CD58FE" w:rsidP="004D03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fiskālā ietekme uz pašvaldības budžetu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1E4C5F08" w14:textId="4B4E17EA" w:rsidR="00CD58FE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Saistošo noteikumu īstenošanai prognozētā aptuvenā fiskālā ietekme uz pašvaldības budžetu </w:t>
                  </w:r>
                  <w:r w:rsidRPr="003C5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ir </w:t>
                  </w:r>
                  <w:r w:rsidR="00A30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97 737</w:t>
                  </w:r>
                  <w:r w:rsidRPr="003C5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 w:rsidRPr="003C551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euro</w:t>
                  </w:r>
                  <w:r w:rsidRPr="003C5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 gadā. </w:t>
                  </w:r>
                </w:p>
                <w:p w14:paraId="68D40FBF" w14:textId="77777777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Saistošo noteikumu izpilde notiks Madonas novada pašvaldības kārtējā gada budžeta ietvaros. </w:t>
                  </w:r>
                </w:p>
                <w:p w14:paraId="0796DAC4" w14:textId="6D7A9496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Saistošo noteikumu īstenošanai finansējums ik gadu tiks paredzēts pašvaldības budžetā.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6206E5B8" w14:textId="77777777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58CA3337" w14:textId="3DA79FC8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34C05EE4" w14:textId="77777777" w:rsidR="00CD58FE" w:rsidRPr="00C87418" w:rsidRDefault="00CD58FE" w:rsidP="004D03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sociālā ietekme, ietekme uz vidi, iedzīvotāju veselību, uzņēmējdarbības vidi pašvaldības teritorijā, kā arī plānotā regulējuma ietekme uz konkurenci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58E2D80E" w14:textId="4F57BE7D" w:rsidR="00CD58FE" w:rsidRPr="000236CE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Sociālā ietekme – </w:t>
                  </w:r>
                  <w:r w:rsidR="002A3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saistošie noteikumi pozitīvi ietekmēs </w:t>
                  </w:r>
                  <w:r w:rsidR="002A331B" w:rsidRPr="002A3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sociālo vid</w:t>
                  </w:r>
                  <w:r w:rsidR="002A3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i, jo tiek paplašināts sociālo pakalpojumu dzīvesvietā klāsts ar jaunu pakalpojumu – pansijas pakalpojums. </w:t>
                  </w:r>
                </w:p>
                <w:p w14:paraId="04CA7BC2" w14:textId="77777777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23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Ietekme uz vidi – nav attiecināms.</w:t>
                  </w:r>
                </w:p>
                <w:p w14:paraId="66FA7BEB" w14:textId="662D770A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Ietekme uz iedzīvotāju veselību – </w:t>
                  </w:r>
                  <w:r w:rsidR="002A3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saistošie noteikumu ietekme var būt pastarpināta, jo personas, kurām nav dzīvesvietas </w:t>
                  </w:r>
                  <w:r w:rsidR="002829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tiks nodrošināts mājoklis un uzraudzība, kas nodrošinās labāku veselību vai veselības uzturēšanu.</w:t>
                  </w:r>
                  <w:r w:rsidR="002A3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</w:p>
                <w:p w14:paraId="3270DA49" w14:textId="44226AF4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Ietekme uz uzņēmējdarbības vidi  – nav attiecināms. </w:t>
                  </w:r>
                </w:p>
                <w:p w14:paraId="0C45473A" w14:textId="0CBA79B9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Ietekme uz konkurenci – Saistošajos noteikumos paredzētie pasākumi neierobežo konkurenci.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62A990A0" w14:textId="77777777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6944E345" w14:textId="1E1E2338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601BB931" w14:textId="77777777" w:rsidR="00CD58FE" w:rsidRPr="00C87418" w:rsidRDefault="00CD58FE" w:rsidP="004D03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Saistošo noteikumu ietekme uz </w:t>
                  </w: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administratīvajām procedūrām un to izmaksām gan attiecībā uz saimnieciskās darbības veicējiem, gan fiziskajām personām un nevalstiskā sektora organizācijām, gan budžeta finansētām institūcijām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62BD4CB4" w14:textId="76AAF9F1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lastRenderedPageBreak/>
                    <w:t xml:space="preserve">Saistošie noteikumi neietekmē līdzšinējās administratīvās procedūras. Netiek mainīta kārtība, kādā tiek sniegti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pakalpojumi. </w:t>
                  </w:r>
                </w:p>
                <w:p w14:paraId="229C8271" w14:textId="68DC5C49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lastRenderedPageBreak/>
                    <w:t>N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av paredzamas papildu administratīvo procedūru izmaksas.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0539CDB3" w14:textId="77777777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17326120" w14:textId="159501E7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12CFAD14" w14:textId="77777777" w:rsidR="00CD58FE" w:rsidRPr="00C87418" w:rsidRDefault="00CD58FE" w:rsidP="004D03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ietekme uz pašvaldības funkcijām un cilvēkresursiem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442F9808" w14:textId="4E980E7F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Jauna ietekme uz pašvaldības funkcijas, kuras izpildei tiek izstrādāti šie saistošie noteikumi – Pašvaldību likuma 4. panta pirmās daļas 9. punktā noteiktā autonomā funkcija: nodrošināt iedzīvotājiem atbalstu sociālo problēmu risināšanā, kā arī iespēju saņemt sociālo palīdzību un sociālos pakalpojumus, netiek paredzēta.</w:t>
                  </w:r>
                </w:p>
                <w:p w14:paraId="70E8347C" w14:textId="3B6C8DE8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Saistošo noteikumu izpildes nodrošināšanai tiks iesaistīti pašvaldības esošie cilvēkresursi, nav nepieciešams veidot jaunas pašvaldības institūcijas vai darba vietas.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1076C566" w14:textId="77777777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70ED2273" w14:textId="377FA2A9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02C4C7A5" w14:textId="77777777" w:rsidR="00CD58FE" w:rsidRPr="00C87418" w:rsidRDefault="00CD58FE" w:rsidP="004D03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izpildes nodrošināšana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522BAF33" w14:textId="02B7E7B8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Saistošajos noteikumos noteiktos pa</w:t>
                  </w:r>
                  <w:r w:rsidR="003703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kalpojumus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administrēs pašvaldības iestāde “Madonas novada Sociālais dienests”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.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3690079C" w14:textId="77777777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28A6B6B6" w14:textId="4E80B9D2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544F8E56" w14:textId="77777777" w:rsidR="00CD58FE" w:rsidRPr="00C87418" w:rsidRDefault="00CD58FE" w:rsidP="004D03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prasību un izmaksu samērīgumu pret ieguvumiem, ko sniedz mērķa sasniegšana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0B145D20" w14:textId="22C0F421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Saistošie noteikumi ir piemēroti iecerētā mērķa sasniegšanai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 – sniegt sociālos pakalpojumus, 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un paredz tikai to, kas ir vajadzīgs minētā mērķa nodrošināšanai.</w:t>
                  </w:r>
                </w:p>
                <w:p w14:paraId="27454CF9" w14:textId="77777777" w:rsidR="00CD58FE" w:rsidRPr="00C87418" w:rsidRDefault="00CD58FE" w:rsidP="004D03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3B659870" w14:textId="77777777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3EFD50E9" w14:textId="4395D0C9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1EBC3E2F" w14:textId="77777777" w:rsidR="00CD58FE" w:rsidRPr="00C87418" w:rsidRDefault="00CD58FE" w:rsidP="004D03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izstrādes gaitā veiktās konsultācijas ar privātpersonām, saņemtais sabiedrības viedoklis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36AA514A" w14:textId="41A35E03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Atbilstoši </w:t>
                  </w:r>
                  <w:hyperlink r:id="rId7" w:tgtFrame="_blank" w:history="1">
                    <w:r w:rsidRPr="00C8741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lv-LV"/>
                      </w:rPr>
                      <w:t>Pašvaldību likuma</w:t>
                    </w:r>
                  </w:hyperlink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 46. panta trešajai daļai, lai informētu sabiedrību par Saistošo noteikumu projektu un dotu iespēju iedzīvotājiem izteikt viedokli, Saistošo noteikumu </w:t>
                  </w:r>
                  <w:r w:rsidR="003703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grozījumu 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projekts no 202</w:t>
                  </w:r>
                  <w:r w:rsidR="00B707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. </w:t>
                  </w:r>
                  <w:r w:rsidRPr="00634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gada </w:t>
                  </w:r>
                  <w:r w:rsidR="003F5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24</w:t>
                  </w:r>
                  <w:r w:rsidR="00B707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. </w:t>
                  </w:r>
                  <w:r w:rsidR="003F5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janvāra</w:t>
                  </w:r>
                  <w:r w:rsidR="00E11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līdz 7. februārim</w:t>
                  </w:r>
                  <w:r w:rsidR="00172C30" w:rsidRPr="00634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634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publicēts pašvaldības tīmekļa vietnē www.madona.lv sadaļas “Dokumenti” apakšsadaļā “Saistošo noteikumu projekti”.</w:t>
                  </w:r>
                  <w:r w:rsidR="00634ADB" w:rsidRPr="00634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="00634ADB" w:rsidRPr="00634ADB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Publikācijā noteiktajā termiņā priekšlikumi </w:t>
                  </w:r>
                  <w:r w:rsidR="005C2D8D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14:ligatures w14:val="standardContextual"/>
                    </w:rPr>
                    <w:t>nav</w:t>
                  </w:r>
                  <w:r w:rsidR="00634ADB" w:rsidRPr="00634ADB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 saņemti.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65778F86" w14:textId="77777777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1715C9FF" w14:textId="77777777" w:rsidR="00704125" w:rsidRPr="00C87418" w:rsidRDefault="00704125" w:rsidP="00B925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14:paraId="39F2FCD3" w14:textId="77777777" w:rsidR="00704125" w:rsidRPr="00C87418" w:rsidRDefault="00704125" w:rsidP="00B92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C87418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lastRenderedPageBreak/>
              <w:t> </w:t>
            </w:r>
          </w:p>
        </w:tc>
      </w:tr>
    </w:tbl>
    <w:p w14:paraId="5E5D6D54" w14:textId="77777777" w:rsidR="00C27799" w:rsidRDefault="00C27799" w:rsidP="00C27799">
      <w:pPr>
        <w:shd w:val="clear" w:color="auto" w:fill="FFFFFF"/>
        <w:spacing w:before="375" w:after="10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14:paraId="6C4DC84F" w14:textId="371EE5F7" w:rsidR="00C27799" w:rsidRPr="00C27799" w:rsidRDefault="00C27799" w:rsidP="00661829">
      <w:pPr>
        <w:shd w:val="clear" w:color="auto" w:fill="FFFFFF"/>
        <w:spacing w:before="375" w:after="10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C27799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Madonas novada pašvaldības domes priekšsēdētājs</w:t>
      </w:r>
      <w:r w:rsidRPr="00C27799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ab/>
      </w:r>
      <w:r w:rsidRPr="00C27799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ab/>
      </w:r>
      <w:r w:rsidR="00661829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 </w:t>
      </w:r>
      <w:r w:rsidR="00661829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ab/>
        <w:t xml:space="preserve">       </w:t>
      </w:r>
      <w:r w:rsidRPr="00C27799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ab/>
      </w:r>
      <w:r w:rsidR="00661829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        </w:t>
      </w:r>
      <w:r w:rsidRPr="00C27799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A. Lungevičs</w:t>
      </w:r>
    </w:p>
    <w:p w14:paraId="7E48C8CF" w14:textId="77777777" w:rsidR="00C87418" w:rsidRDefault="00C87418" w:rsidP="00C27799">
      <w:pPr>
        <w:spacing w:after="0" w:line="240" w:lineRule="auto"/>
        <w:ind w:left="3725" w:right="-2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4597D41" w14:textId="77777777" w:rsidR="00C27799" w:rsidRPr="00C27799" w:rsidRDefault="00C27799" w:rsidP="00C27799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C34E935" w14:textId="77777777" w:rsidR="00C27799" w:rsidRPr="00C27799" w:rsidRDefault="00C27799" w:rsidP="00C27799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5588E7E" w14:textId="77777777" w:rsidR="00C27799" w:rsidRPr="00C27799" w:rsidRDefault="00C27799" w:rsidP="00C27799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165FEB9" w14:textId="77777777" w:rsidR="00C27799" w:rsidRPr="00C27799" w:rsidRDefault="00C27799" w:rsidP="00C27799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74C669E" w14:textId="77777777" w:rsidR="00C27799" w:rsidRPr="00C27799" w:rsidRDefault="00C27799" w:rsidP="00C27799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DD1EC4C" w14:textId="77777777" w:rsidR="00C27799" w:rsidRPr="00C27799" w:rsidRDefault="00C27799" w:rsidP="00C27799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446944A" w14:textId="77777777" w:rsidR="00C27799" w:rsidRPr="00C27799" w:rsidRDefault="00C27799" w:rsidP="00C27799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C27799" w:rsidRPr="00C27799" w:rsidSect="00661829">
      <w:footerReference w:type="default" r:id="rId8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63522" w14:textId="77777777" w:rsidR="00955EDD" w:rsidRDefault="00955EDD" w:rsidP="00450149">
      <w:pPr>
        <w:spacing w:after="0" w:line="240" w:lineRule="auto"/>
      </w:pPr>
      <w:r>
        <w:separator/>
      </w:r>
    </w:p>
  </w:endnote>
  <w:endnote w:type="continuationSeparator" w:id="0">
    <w:p w14:paraId="7B8649B4" w14:textId="77777777" w:rsidR="00955EDD" w:rsidRDefault="00955EDD" w:rsidP="0045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CFEAB" w14:textId="3A87C5D5" w:rsidR="00C27799" w:rsidRPr="00C27799" w:rsidRDefault="00C27799" w:rsidP="00C27799">
    <w:pPr>
      <w:pStyle w:val="Kjene"/>
      <w:rPr>
        <w:rFonts w:ascii="Times New Roman" w:eastAsia="Times New Roman" w:hAnsi="Times New Roman" w:cs="Times New Roman"/>
        <w:sz w:val="24"/>
        <w:szCs w:val="24"/>
        <w:lang w:eastAsia="lv-LV"/>
      </w:rPr>
    </w:pPr>
    <w:r w:rsidRPr="00C27799">
      <w:rPr>
        <w:rFonts w:ascii="Times New Roman" w:eastAsia="Times New Roman" w:hAnsi="Times New Roman" w:cs="Times New Roman"/>
        <w:sz w:val="20"/>
        <w:szCs w:val="20"/>
        <w:lang w:eastAsia="lv-LV"/>
      </w:rPr>
      <w:t>DOKUMENTS PARAKSTĪTS AR DROŠU ELEKTRONISKO PARAKSTU UN SATUR LAIKA ZĪMOGU</w:t>
    </w:r>
  </w:p>
  <w:p w14:paraId="7AA8524A" w14:textId="474EF131" w:rsidR="00450149" w:rsidRDefault="0045014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374AB" w14:textId="77777777" w:rsidR="00955EDD" w:rsidRDefault="00955EDD" w:rsidP="00450149">
      <w:pPr>
        <w:spacing w:after="0" w:line="240" w:lineRule="auto"/>
      </w:pPr>
      <w:r>
        <w:separator/>
      </w:r>
    </w:p>
  </w:footnote>
  <w:footnote w:type="continuationSeparator" w:id="0">
    <w:p w14:paraId="5CFCBD19" w14:textId="77777777" w:rsidR="00955EDD" w:rsidRDefault="00955EDD" w:rsidP="00450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4F6B80"/>
    <w:multiLevelType w:val="hybridMultilevel"/>
    <w:tmpl w:val="CF822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01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25"/>
    <w:rsid w:val="000236CE"/>
    <w:rsid w:val="00052B9E"/>
    <w:rsid w:val="00086046"/>
    <w:rsid w:val="000961BF"/>
    <w:rsid w:val="00097D15"/>
    <w:rsid w:val="000A04CD"/>
    <w:rsid w:val="000A0B6C"/>
    <w:rsid w:val="000A139A"/>
    <w:rsid w:val="000B4FA7"/>
    <w:rsid w:val="000B64E6"/>
    <w:rsid w:val="000D16EC"/>
    <w:rsid w:val="000D5911"/>
    <w:rsid w:val="00104C91"/>
    <w:rsid w:val="001056DE"/>
    <w:rsid w:val="0011196C"/>
    <w:rsid w:val="00112BB7"/>
    <w:rsid w:val="00115E55"/>
    <w:rsid w:val="00125DE6"/>
    <w:rsid w:val="0013672C"/>
    <w:rsid w:val="00172C30"/>
    <w:rsid w:val="00181C7D"/>
    <w:rsid w:val="00196AA8"/>
    <w:rsid w:val="00197840"/>
    <w:rsid w:val="001A0598"/>
    <w:rsid w:val="001A753E"/>
    <w:rsid w:val="001E08BD"/>
    <w:rsid w:val="001F1052"/>
    <w:rsid w:val="00201CEA"/>
    <w:rsid w:val="00277600"/>
    <w:rsid w:val="00282949"/>
    <w:rsid w:val="002879D8"/>
    <w:rsid w:val="002A0927"/>
    <w:rsid w:val="002A331B"/>
    <w:rsid w:val="002B25E9"/>
    <w:rsid w:val="002B4C2F"/>
    <w:rsid w:val="002B6F4A"/>
    <w:rsid w:val="002C128D"/>
    <w:rsid w:val="002D7175"/>
    <w:rsid w:val="002D7A3C"/>
    <w:rsid w:val="002F3747"/>
    <w:rsid w:val="00324928"/>
    <w:rsid w:val="00326366"/>
    <w:rsid w:val="003347EE"/>
    <w:rsid w:val="003703B1"/>
    <w:rsid w:val="00381436"/>
    <w:rsid w:val="00381A7F"/>
    <w:rsid w:val="00395264"/>
    <w:rsid w:val="00397946"/>
    <w:rsid w:val="003A0721"/>
    <w:rsid w:val="003A6269"/>
    <w:rsid w:val="003C3351"/>
    <w:rsid w:val="003C5514"/>
    <w:rsid w:val="003D463C"/>
    <w:rsid w:val="003E2D44"/>
    <w:rsid w:val="003F3C05"/>
    <w:rsid w:val="003F52E9"/>
    <w:rsid w:val="00442CD5"/>
    <w:rsid w:val="00450149"/>
    <w:rsid w:val="00451425"/>
    <w:rsid w:val="00455A6F"/>
    <w:rsid w:val="004642AD"/>
    <w:rsid w:val="004852C5"/>
    <w:rsid w:val="00495906"/>
    <w:rsid w:val="004D036A"/>
    <w:rsid w:val="004E722D"/>
    <w:rsid w:val="004E7E3F"/>
    <w:rsid w:val="004F5E67"/>
    <w:rsid w:val="00511845"/>
    <w:rsid w:val="00524723"/>
    <w:rsid w:val="00527483"/>
    <w:rsid w:val="00557AEC"/>
    <w:rsid w:val="00563001"/>
    <w:rsid w:val="00572594"/>
    <w:rsid w:val="00573642"/>
    <w:rsid w:val="005945A1"/>
    <w:rsid w:val="005C2D8D"/>
    <w:rsid w:val="005E4908"/>
    <w:rsid w:val="005F05AF"/>
    <w:rsid w:val="0062284D"/>
    <w:rsid w:val="00630A35"/>
    <w:rsid w:val="00634ADB"/>
    <w:rsid w:val="00661829"/>
    <w:rsid w:val="006C3ACA"/>
    <w:rsid w:val="006D0E06"/>
    <w:rsid w:val="006F444F"/>
    <w:rsid w:val="00704125"/>
    <w:rsid w:val="00734A91"/>
    <w:rsid w:val="00743CA3"/>
    <w:rsid w:val="007949A0"/>
    <w:rsid w:val="007A4488"/>
    <w:rsid w:val="007A5D77"/>
    <w:rsid w:val="007B099F"/>
    <w:rsid w:val="007B7BE0"/>
    <w:rsid w:val="007C6B11"/>
    <w:rsid w:val="007D5EFD"/>
    <w:rsid w:val="00810642"/>
    <w:rsid w:val="00844662"/>
    <w:rsid w:val="00853317"/>
    <w:rsid w:val="00863CD9"/>
    <w:rsid w:val="00887649"/>
    <w:rsid w:val="008B1B98"/>
    <w:rsid w:val="008C3FBC"/>
    <w:rsid w:val="00917573"/>
    <w:rsid w:val="00931FA5"/>
    <w:rsid w:val="0094141D"/>
    <w:rsid w:val="009546DC"/>
    <w:rsid w:val="00955EDD"/>
    <w:rsid w:val="00963586"/>
    <w:rsid w:val="00980750"/>
    <w:rsid w:val="00993D9C"/>
    <w:rsid w:val="00997CDB"/>
    <w:rsid w:val="009D40DF"/>
    <w:rsid w:val="009E070E"/>
    <w:rsid w:val="00A11A4F"/>
    <w:rsid w:val="00A11C3D"/>
    <w:rsid w:val="00A30DAF"/>
    <w:rsid w:val="00A37F80"/>
    <w:rsid w:val="00A476E6"/>
    <w:rsid w:val="00A65609"/>
    <w:rsid w:val="00AB67F4"/>
    <w:rsid w:val="00AD3C97"/>
    <w:rsid w:val="00AD63FE"/>
    <w:rsid w:val="00B1729B"/>
    <w:rsid w:val="00B44D0F"/>
    <w:rsid w:val="00B53053"/>
    <w:rsid w:val="00B70786"/>
    <w:rsid w:val="00B80DC4"/>
    <w:rsid w:val="00B925F9"/>
    <w:rsid w:val="00BA26E0"/>
    <w:rsid w:val="00BB0DFF"/>
    <w:rsid w:val="00BE010B"/>
    <w:rsid w:val="00BE02EF"/>
    <w:rsid w:val="00C27799"/>
    <w:rsid w:val="00C31549"/>
    <w:rsid w:val="00C65B53"/>
    <w:rsid w:val="00C71578"/>
    <w:rsid w:val="00C87418"/>
    <w:rsid w:val="00CC37F5"/>
    <w:rsid w:val="00CC6449"/>
    <w:rsid w:val="00CD58FE"/>
    <w:rsid w:val="00CE2E4E"/>
    <w:rsid w:val="00CE47D2"/>
    <w:rsid w:val="00CF499E"/>
    <w:rsid w:val="00D178C2"/>
    <w:rsid w:val="00D34221"/>
    <w:rsid w:val="00D63A2F"/>
    <w:rsid w:val="00D8753F"/>
    <w:rsid w:val="00DB51BA"/>
    <w:rsid w:val="00E065B1"/>
    <w:rsid w:val="00E11010"/>
    <w:rsid w:val="00E140E1"/>
    <w:rsid w:val="00E412E5"/>
    <w:rsid w:val="00E528E1"/>
    <w:rsid w:val="00E806E3"/>
    <w:rsid w:val="00E95053"/>
    <w:rsid w:val="00EA441E"/>
    <w:rsid w:val="00EE1191"/>
    <w:rsid w:val="00F00DE4"/>
    <w:rsid w:val="00F026FF"/>
    <w:rsid w:val="00F51350"/>
    <w:rsid w:val="00F56B45"/>
    <w:rsid w:val="00F849C0"/>
    <w:rsid w:val="00FB1B2E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6F2DA"/>
  <w15:docId w15:val="{6EB935E5-ECCB-4337-971F-73985EA1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04125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04125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AD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5E4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945A1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1A7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3E2D44"/>
    <w:rPr>
      <w:i/>
      <w:iCs/>
    </w:rPr>
  </w:style>
  <w:style w:type="paragraph" w:customStyle="1" w:styleId="tv213">
    <w:name w:val="tv213"/>
    <w:basedOn w:val="Parasts"/>
    <w:rsid w:val="006D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501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0149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4501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0149"/>
    <w:rPr>
      <w:kern w:val="0"/>
      <w14:ligatures w14:val="none"/>
    </w:rPr>
  </w:style>
  <w:style w:type="character" w:customStyle="1" w:styleId="markedcontent">
    <w:name w:val="markedcontent"/>
    <w:basedOn w:val="Noklusjumarindkopasfonts"/>
    <w:rsid w:val="00941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336956-pasvaldibu-lik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3200</Words>
  <Characters>1824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Jurists</dc:creator>
  <cp:lastModifiedBy>Lietvediba</cp:lastModifiedBy>
  <cp:revision>5</cp:revision>
  <dcterms:created xsi:type="dcterms:W3CDTF">2025-04-07T13:12:00Z</dcterms:created>
  <dcterms:modified xsi:type="dcterms:W3CDTF">2025-04-30T11:52:00Z</dcterms:modified>
</cp:coreProperties>
</file>